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center"/>
      </w:pPr>
      <w:r>
        <w:rPr>
          <w:rFonts w:ascii="Yu Gothic" w:eastAsia="游ゴシック" w:hAnsi="Yu Gothic"/>
          <w:b/>
          <w:bCs/>
          <w:sz w:val="32"/>
          <w:szCs w:val="32"/>
        </w:rPr>
        <w:t xml:space="preserve">職務経歴書</w:t>
      </w:r>
    </w:p>
    <w:p>
      <w:pPr>
        <w:spacing w:after="20" w:line="232"/>
        <w:jc w:val="right"/>
      </w:pPr>
      <w:r>
        <w:rPr>
          <w:rFonts w:ascii="Yu Gothic" w:eastAsia="游ゴシック" w:hAnsi="Yu Gothic"/>
          <w:sz w:val="18"/>
          <w:szCs w:val="18"/>
        </w:rPr>
        <w:t xml:space="preserve">20〇〇年〇月〇日現在</w:t>
      </w:r>
    </w:p>
    <w:p>
      <w:pPr>
        <w:spacing w:after="60" w:line="232"/>
        <w:jc w:val="right"/>
      </w:pPr>
      <w:r>
        <w:rPr>
          <w:rFonts w:ascii="Yu Gothic" w:eastAsia="游ゴシック" w:hAnsi="Yu Gothic"/>
          <w:sz w:val="18"/>
          <w:szCs w:val="18"/>
        </w:rPr>
        <w:t xml:space="preserve">氏名　山田 太郎</w:t>
      </w:r>
    </w:p>
    <w:p>
      <w:pPr>
        <w:spacing w:after="80" w:line="232"/>
      </w:pPr>
      <w:r>
        <w:rPr>
          <w:rFonts w:ascii="Yu Gothic" w:eastAsia="游ゴシック" w:hAnsi="Yu Gothic"/>
          <w:b/>
          <w:bCs/>
          <w:sz w:val="18"/>
          <w:szCs w:val="18"/>
        </w:rPr>
        <w:t xml:space="preserve">※記入例　この書類は書き方を示すためのサンプルです。人物・社名・数字はすべて架空のものです。</w:t>
      </w:r>
    </w:p>
    <w:p>
      <w:pPr>
        <w:pBdr>
          <w:bottom w:val="single" w:color="000000" w:sz="6"/>
        </w:pBdr>
        <w:spacing w:after="70" w:before="150" w:line="232"/>
      </w:pPr>
      <w:r>
        <w:rPr>
          <w:rFonts w:ascii="Yu Gothic" w:eastAsia="游ゴシック" w:hAnsi="Yu Gothic"/>
          <w:b/>
          <w:bCs/>
          <w:sz w:val="22"/>
          <w:szCs w:val="22"/>
        </w:rPr>
        <w:t xml:space="preserve">職務要約</w:t>
      </w:r>
    </w:p>
    <w:p>
      <w:pPr>
        <w:spacing w:after="40" w:before="0" w:line="232"/>
      </w:pPr>
      <w:r>
        <w:rPr>
          <w:rFonts w:ascii="Yu Gothic" w:eastAsia="游ゴシック" w:hAnsi="Yu Gothic"/>
          <w:sz w:val="20"/>
          <w:szCs w:val="20"/>
        </w:rPr>
        <w:t xml:space="preserve">広告会社と事業会社でマーケティング職として通算10年間、BtoC商材のブランド戦略とデジタル広告を担当してきました。</w:t>
      </w:r>
    </w:p>
    <w:p>
      <w:pPr>
        <w:spacing w:after="40" w:before="0" w:line="232"/>
      </w:pPr>
      <w:r>
        <w:rPr>
          <w:rFonts w:ascii="Yu Gothic" w:eastAsia="游ゴシック" w:hAnsi="Yu Gothic"/>
          <w:sz w:val="20"/>
          <w:szCs w:val="20"/>
        </w:rPr>
        <w:t xml:space="preserve">直近は株式会社〇〇（食品メーカー）にて、主力ブランドの年間コミュニケーション設計と、年間予算3,000万円の運用を担当しています。</w:t>
      </w:r>
    </w:p>
    <w:p>
      <w:pPr>
        <w:spacing w:after="40" w:before="0" w:line="232"/>
      </w:pPr>
      <w:r>
        <w:rPr>
          <w:rFonts w:ascii="Yu Gothic" w:eastAsia="游ゴシック" w:hAnsi="Yu Gothic"/>
          <w:sz w:val="20"/>
          <w:szCs w:val="20"/>
        </w:rPr>
        <w:t xml:space="preserve">生活者調査から施策の設計、効果検証までを一貫して回し、新規顧客の獲得単価を40％改善しました。</w:t>
      </w:r>
    </w:p>
    <w:p>
      <w:pPr>
        <w:pBdr>
          <w:bottom w:val="single" w:color="000000" w:sz="6"/>
        </w:pBdr>
        <w:spacing w:after="70" w:before="150" w:line="232"/>
      </w:pPr>
      <w:r>
        <w:rPr>
          <w:rFonts w:ascii="Yu Gothic" w:eastAsia="游ゴシック" w:hAnsi="Yu Gothic"/>
          <w:b/>
          <w:bCs/>
          <w:sz w:val="22"/>
          <w:szCs w:val="22"/>
        </w:rPr>
        <w:t xml:space="preserve">活かせる経験・スキル</w:t>
      </w:r>
    </w:p>
    <w:p>
      <w:pPr>
        <w:pStyle w:val="ListParagraph"/>
        <w:numPr>
          <w:ilvl w:val="0"/>
          <w:numId w:val="2"/>
        </w:numPr>
        <w:spacing w:after="0" w:line="232"/>
      </w:pPr>
      <w:r>
        <w:rPr>
          <w:rFonts w:ascii="Yu Gothic" w:eastAsia="游ゴシック" w:hAnsi="Yu Gothic"/>
          <w:sz w:val="20"/>
          <w:szCs w:val="20"/>
        </w:rPr>
        <w:t xml:space="preserve">ブランド戦略の立案（生活者調査 → ターゲット定義 → コミュニケーション設計）</w:t>
      </w:r>
    </w:p>
    <w:p>
      <w:pPr>
        <w:pStyle w:val="ListParagraph"/>
        <w:numPr>
          <w:ilvl w:val="0"/>
          <w:numId w:val="2"/>
        </w:numPr>
        <w:spacing w:after="0" w:line="232"/>
      </w:pPr>
      <w:r>
        <w:rPr>
          <w:rFonts w:ascii="Yu Gothic" w:eastAsia="游ゴシック" w:hAnsi="Yu Gothic"/>
          <w:sz w:val="20"/>
          <w:szCs w:val="20"/>
        </w:rPr>
        <w:t xml:space="preserve">デジタル広告の設計と改善（検索／ディスプレイ／SNS・月間予算250万円規模）</w:t>
      </w:r>
    </w:p>
    <w:p>
      <w:pPr>
        <w:pStyle w:val="ListParagraph"/>
        <w:numPr>
          <w:ilvl w:val="0"/>
          <w:numId w:val="2"/>
        </w:numPr>
        <w:spacing w:after="0" w:line="232"/>
      </w:pPr>
      <w:r>
        <w:rPr>
          <w:rFonts w:ascii="Yu Gothic" w:eastAsia="游ゴシック" w:hAnsi="Yu Gothic"/>
          <w:sz w:val="20"/>
          <w:szCs w:val="20"/>
        </w:rPr>
        <w:t xml:space="preserve">効果検証の設計（KPI設計、ダッシュボード作成、月次定例での意思決定の支援）</w:t>
      </w:r>
    </w:p>
    <w:p>
      <w:pPr>
        <w:pStyle w:val="ListParagraph"/>
        <w:numPr>
          <w:ilvl w:val="0"/>
          <w:numId w:val="2"/>
        </w:numPr>
        <w:spacing w:after="0" w:line="232"/>
      </w:pPr>
      <w:r>
        <w:rPr>
          <w:rFonts w:ascii="Yu Gothic" w:eastAsia="游ゴシック" w:hAnsi="Yu Gothic"/>
          <w:sz w:val="20"/>
          <w:szCs w:val="20"/>
        </w:rPr>
        <w:t xml:space="preserve">制作進行とパートナー管理（代理店・制作会社5社のディレクション）</w:t>
      </w:r>
    </w:p>
    <w:p>
      <w:pPr>
        <w:pStyle w:val="ListParagraph"/>
        <w:numPr>
          <w:ilvl w:val="0"/>
          <w:numId w:val="2"/>
        </w:numPr>
        <w:spacing w:after="0" w:line="232"/>
      </w:pPr>
      <w:r>
        <w:rPr>
          <w:rFonts w:ascii="Yu Gothic" w:eastAsia="游ゴシック" w:hAnsi="Yu Gothic"/>
          <w:sz w:val="20"/>
          <w:szCs w:val="20"/>
        </w:rPr>
        <w:t xml:space="preserve">部門をまたいだ合意形成（営業・商品開発・カスタマーサポートとの調整）</w:t>
      </w:r>
    </w:p>
    <w:p>
      <w:pPr>
        <w:pStyle w:val="ListParagraph"/>
        <w:numPr>
          <w:ilvl w:val="0"/>
          <w:numId w:val="2"/>
        </w:numPr>
        <w:spacing w:after="0" w:line="232"/>
      </w:pPr>
      <w:r>
        <w:rPr>
          <w:rFonts w:ascii="Yu Gothic" w:eastAsia="游ゴシック" w:hAnsi="Yu Gothic"/>
          <w:sz w:val="20"/>
          <w:szCs w:val="20"/>
        </w:rPr>
        <w:t xml:space="preserve">メンバー3名のマネジメント（目標設定・週次の1on1・育成）</w:t>
      </w:r>
    </w:p>
    <w:p>
      <w:pPr>
        <w:pBdr>
          <w:bottom w:val="single" w:color="000000" w:sz="6"/>
        </w:pBdr>
        <w:spacing w:after="70" w:before="150" w:line="232"/>
      </w:pPr>
      <w:r>
        <w:rPr>
          <w:rFonts w:ascii="Yu Gothic" w:eastAsia="游ゴシック" w:hAnsi="Yu Gothic"/>
          <w:b/>
          <w:bCs/>
          <w:sz w:val="22"/>
          <w:szCs w:val="22"/>
        </w:rPr>
        <w:t xml:space="preserve">職務経歴</w:t>
      </w:r>
    </w:p>
    <w:p>
      <w:pPr>
        <w:spacing w:after="20" w:before="0" w:line="232"/>
      </w:pPr>
      <w:r>
        <w:rPr>
          <w:rFonts w:ascii="Yu Gothic" w:eastAsia="游ゴシック" w:hAnsi="Yu Gothic"/>
          <w:b/>
          <w:bCs/>
          <w:sz w:val="20"/>
          <w:szCs w:val="20"/>
        </w:rPr>
        <w:t xml:space="preserve">株式会社〇〇（食品メーカー）　20〇〇年4月 〜 現在</w:t>
      </w:r>
    </w:p>
    <w:p>
      <w:pPr>
        <w:spacing w:after="60" w:before="0" w:line="232"/>
      </w:pPr>
      <w:r>
        <w:rPr>
          <w:rFonts w:ascii="Yu Gothic" w:eastAsia="游ゴシック" w:hAnsi="Yu Gothic"/>
          <w:sz w:val="18"/>
          <w:szCs w:val="18"/>
        </w:rPr>
        <w:t xml:space="preserve">事業内容：食品の製造・販売／売上高：200億円／従業員数：500名／雇用形態：正社員</w:t>
      </w:r>
    </w:p>
    <w:p>
      <w:pPr>
        <w:spacing w:after="90" w:before="0" w:line="232"/>
      </w:pPr>
      <w:r>
        <w:rPr>
          <w:rFonts w:ascii="Yu Gothic" w:eastAsia="游ゴシック" w:hAnsi="Yu Gothic"/>
          <w:sz w:val="18"/>
          <w:szCs w:val="18"/>
        </w:rPr>
        <w:t xml:space="preserve">所属：マーケティング本部　ブランド戦略部（部門12名／うち直属メンバー3名）</w:t>
      </w:r>
    </w:p>
    <w:p>
      <w:pPr>
        <w:spacing w:after="40" w:before="0" w:line="232"/>
      </w:pPr>
      <w:r>
        <w:rPr>
          <w:rFonts w:ascii="Yu Gothic" w:eastAsia="游ゴシック" w:hAnsi="Yu Gothic"/>
          <w:b/>
          <w:bCs/>
          <w:sz w:val="20"/>
          <w:szCs w:val="20"/>
        </w:rPr>
        <w:t xml:space="preserve">担当案件① 主力ブランドの新規顧客獲得（定期購入）</w:t>
      </w:r>
    </w:p>
    <w:p>
      <w:pPr>
        <w:spacing w:after="20" w:line="232"/>
        <w:ind w:left="260"/>
      </w:pPr>
      <w:r>
        <w:rPr>
          <w:rFonts w:ascii="Yu Gothic" w:eastAsia="游ゴシック" w:hAnsi="Yu Gothic"/>
          <w:b/>
          <w:bCs/>
          <w:sz w:val="20"/>
          <w:szCs w:val="20"/>
        </w:rPr>
        <w:t xml:space="preserve">課題：</w:t>
      </w:r>
      <w:r>
        <w:rPr>
          <w:rFonts w:ascii="Yu Gothic" w:eastAsia="游ゴシック" w:hAnsi="Yu Gothic"/>
          <w:sz w:val="20"/>
          <w:szCs w:val="20"/>
        </w:rPr>
        <w:t xml:space="preserve">新規顧客の獲得単価が前年比で50％悪化し、テレビCMに予算を回せない状態でした。</w:t>
      </w:r>
    </w:p>
    <w:p>
      <w:pPr>
        <w:spacing w:after="20" w:line="232"/>
        <w:ind w:left="260"/>
      </w:pPr>
      <w:r>
        <w:rPr>
          <w:rFonts w:ascii="Yu Gothic" w:eastAsia="游ゴシック" w:hAnsi="Yu Gothic"/>
          <w:b/>
          <w:bCs/>
          <w:sz w:val="20"/>
          <w:szCs w:val="20"/>
        </w:rPr>
        <w:t xml:space="preserve">打ち手：</w:t>
      </w:r>
      <w:r>
        <w:rPr>
          <w:rFonts w:ascii="Yu Gothic" w:eastAsia="游ゴシック" w:hAnsi="Yu Gothic"/>
          <w:sz w:val="20"/>
          <w:szCs w:val="20"/>
        </w:rPr>
        <w:t xml:space="preserve">獲得単価の悪化を広告の単価と申込みまでの離脱に分解し、影響の大きかった離脱側から、フォームの短縮案と初回価格の変更案を6週間並行で検証しました。</w:t>
      </w:r>
    </w:p>
    <w:p>
      <w:pPr>
        <w:spacing w:after="20" w:line="232"/>
        <w:ind w:left="260"/>
      </w:pPr>
      <w:r>
        <w:rPr>
          <w:rFonts w:ascii="Yu Gothic" w:eastAsia="游ゴシック" w:hAnsi="Yu Gothic"/>
          <w:b/>
          <w:bCs/>
          <w:sz w:val="20"/>
          <w:szCs w:val="20"/>
        </w:rPr>
        <w:t xml:space="preserve">数字：</w:t>
      </w:r>
      <w:r>
        <w:rPr>
          <w:rFonts w:ascii="Yu Gothic" w:eastAsia="游ゴシック" w:hAnsi="Yu Gothic"/>
          <w:sz w:val="20"/>
          <w:szCs w:val="20"/>
        </w:rPr>
        <w:t xml:space="preserve">獲得単価を10,000円から6,000円へ40％改善し、月間の新規顧客数を200件から500件に伸ばしました（担当：検証設計の全体、3名で推進）。</w:t>
      </w:r>
    </w:p>
    <w:p>
      <w:pPr>
        <w:spacing w:after="20" w:line="232"/>
        <w:ind w:left="260"/>
      </w:pPr>
      <w:r>
        <w:rPr>
          <w:rFonts w:ascii="Yu Gothic" w:eastAsia="游ゴシック" w:hAnsi="Yu Gothic"/>
          <w:b/>
          <w:bCs/>
          <w:sz w:val="20"/>
          <w:szCs w:val="20"/>
        </w:rPr>
        <w:t xml:space="preserve">再現性：</w:t>
      </w:r>
      <w:r>
        <w:rPr>
          <w:rFonts w:ascii="Yu Gothic" w:eastAsia="游ゴシック" w:hAnsi="Yu Gothic"/>
          <w:sz w:val="20"/>
          <w:szCs w:val="20"/>
        </w:rPr>
        <w:t xml:space="preserve">申込みまでの導線がある商材であれば、同じ検証の設計を6週間で立ち上げられます。</w:t>
      </w:r>
    </w:p>
    <w:p>
      <w:pPr>
        <w:spacing w:after="40" w:before="100" w:line="232"/>
      </w:pPr>
      <w:r>
        <w:rPr>
          <w:rFonts w:ascii="Yu Gothic" w:eastAsia="游ゴシック" w:hAnsi="Yu Gothic"/>
          <w:b/>
          <w:bCs/>
          <w:sz w:val="20"/>
          <w:szCs w:val="20"/>
        </w:rPr>
        <w:t xml:space="preserve">担当案件② ブランドリニューアルに伴うコミュニケーション設計</w:t>
      </w:r>
    </w:p>
    <w:p>
      <w:pPr>
        <w:spacing w:after="20" w:line="232"/>
        <w:ind w:left="260"/>
      </w:pPr>
      <w:r>
        <w:rPr>
          <w:rFonts w:ascii="Yu Gothic" w:eastAsia="游ゴシック" w:hAnsi="Yu Gothic"/>
          <w:b/>
          <w:bCs/>
          <w:sz w:val="20"/>
          <w:szCs w:val="20"/>
        </w:rPr>
        <w:t xml:space="preserve">課題：</w:t>
      </w:r>
      <w:r>
        <w:rPr>
          <w:rFonts w:ascii="Yu Gothic" w:eastAsia="游ゴシック" w:hAnsi="Yu Gothic"/>
          <w:sz w:val="20"/>
          <w:szCs w:val="20"/>
        </w:rPr>
        <w:t xml:space="preserve">ブランドの認知は60％あるものの、30代の指名検索が月1,000件で3年間頭打ちになっていました。</w:t>
      </w:r>
    </w:p>
    <w:p>
      <w:pPr>
        <w:spacing w:after="20" w:line="232"/>
        <w:ind w:left="260"/>
      </w:pPr>
      <w:r>
        <w:rPr>
          <w:rFonts w:ascii="Yu Gothic" w:eastAsia="游ゴシック" w:hAnsi="Yu Gothic"/>
          <w:b/>
          <w:bCs/>
          <w:sz w:val="20"/>
          <w:szCs w:val="20"/>
        </w:rPr>
        <w:t xml:space="preserve">打ち手：</w:t>
      </w:r>
      <w:r>
        <w:rPr>
          <w:rFonts w:ascii="Yu Gothic" w:eastAsia="游ゴシック" w:hAnsi="Yu Gothic"/>
          <w:sz w:val="20"/>
          <w:szCs w:val="20"/>
        </w:rPr>
        <w:t xml:space="preserve">購入経験のない30代への定性調査を20件実施し、「自分向けではない」という思い込みが障壁だと特定。訴求を品質の説明から使う場面の提示に変えました。</w:t>
      </w:r>
    </w:p>
    <w:p>
      <w:pPr>
        <w:spacing w:after="20" w:line="232"/>
        <w:ind w:left="260"/>
      </w:pPr>
      <w:r>
        <w:rPr>
          <w:rFonts w:ascii="Yu Gothic" w:eastAsia="游ゴシック" w:hAnsi="Yu Gothic"/>
          <w:b/>
          <w:bCs/>
          <w:sz w:val="20"/>
          <w:szCs w:val="20"/>
        </w:rPr>
        <w:t xml:space="preserve">数字：</w:t>
      </w:r>
      <w:r>
        <w:rPr>
          <w:rFonts w:ascii="Yu Gothic" w:eastAsia="游ゴシック" w:hAnsi="Yu Gothic"/>
          <w:sz w:val="20"/>
          <w:szCs w:val="20"/>
        </w:rPr>
        <w:t xml:space="preserve">指名検索数を月1,000件から3,000件へ3倍に、30代のブランド好意度を20％から40％に改善しました（担当：調査の設計と訴求の決定、制作は外部2社に委託）。</w:t>
      </w:r>
    </w:p>
    <w:p>
      <w:pPr>
        <w:spacing w:after="20" w:line="232"/>
        <w:ind w:left="260"/>
      </w:pPr>
      <w:r>
        <w:rPr>
          <w:rFonts w:ascii="Yu Gothic" w:eastAsia="游ゴシック" w:hAnsi="Yu Gothic"/>
          <w:b/>
          <w:bCs/>
          <w:sz w:val="20"/>
          <w:szCs w:val="20"/>
        </w:rPr>
        <w:t xml:space="preserve">再現性：</w:t>
      </w:r>
      <w:r>
        <w:rPr>
          <w:rFonts w:ascii="Yu Gothic" w:eastAsia="游ゴシック" w:hAnsi="Yu Gothic"/>
          <w:sz w:val="20"/>
          <w:szCs w:val="20"/>
        </w:rPr>
        <w:t xml:space="preserve">購入の障壁を先に特定してから訴求を決める順番は、他のカテゴリーでも同じ手順で進められます。</w:t>
      </w:r>
    </w:p>
    <w:p>
      <w:pPr>
        <w:spacing w:after="20" w:before="160" w:line="232"/>
      </w:pPr>
      <w:r>
        <w:rPr>
          <w:rFonts w:ascii="Yu Gothic" w:eastAsia="游ゴシック" w:hAnsi="Yu Gothic"/>
          <w:b/>
          <w:bCs/>
          <w:sz w:val="20"/>
          <w:szCs w:val="20"/>
        </w:rPr>
        <w:t xml:space="preserve">株式会社△△（広告会社）　20〇〇年4月 〜 20〇〇年3月</w:t>
      </w:r>
    </w:p>
    <w:p>
      <w:pPr>
        <w:spacing w:after="60" w:before="0" w:line="232"/>
      </w:pPr>
      <w:r>
        <w:rPr>
          <w:rFonts w:ascii="Yu Gothic" w:eastAsia="游ゴシック" w:hAnsi="Yu Gothic"/>
          <w:sz w:val="18"/>
          <w:szCs w:val="18"/>
        </w:rPr>
        <w:t xml:space="preserve">事業内容：広告の企画・制作／従業員数：300名／雇用形態：正社員</w:t>
      </w:r>
    </w:p>
    <w:p>
      <w:pPr>
        <w:spacing w:after="90" w:before="0" w:line="232"/>
      </w:pPr>
      <w:r>
        <w:rPr>
          <w:rFonts w:ascii="Yu Gothic" w:eastAsia="游ゴシック" w:hAnsi="Yu Gothic"/>
          <w:sz w:val="18"/>
          <w:szCs w:val="18"/>
        </w:rPr>
        <w:t xml:space="preserve">所属：マーケティングプラニング局（クライアント8社を担当）</w:t>
      </w:r>
    </w:p>
    <w:p>
      <w:pPr>
        <w:spacing w:after="40" w:before="0" w:line="232"/>
      </w:pPr>
      <w:r>
        <w:rPr>
          <w:rFonts w:ascii="Yu Gothic" w:eastAsia="游ゴシック" w:hAnsi="Yu Gothic"/>
          <w:b/>
          <w:bCs/>
          <w:sz w:val="20"/>
          <w:szCs w:val="20"/>
        </w:rPr>
        <w:t xml:space="preserve">担当案件③ 日用品メーカーの年間キャンペーン</w:t>
      </w:r>
    </w:p>
    <w:p>
      <w:pPr>
        <w:spacing w:after="20" w:line="232"/>
        <w:ind w:left="260"/>
      </w:pPr>
      <w:r>
        <w:rPr>
          <w:rFonts w:ascii="Yu Gothic" w:eastAsia="游ゴシック" w:hAnsi="Yu Gothic"/>
          <w:b/>
          <w:bCs/>
          <w:sz w:val="20"/>
          <w:szCs w:val="20"/>
        </w:rPr>
        <w:t xml:space="preserve">課題：</w:t>
      </w:r>
      <w:r>
        <w:rPr>
          <w:rFonts w:ascii="Yu Gothic" w:eastAsia="游ゴシック" w:hAnsi="Yu Gothic"/>
          <w:sz w:val="20"/>
          <w:szCs w:val="20"/>
        </w:rPr>
        <w:t xml:space="preserve">担当ブランドの売上が3年連続で前年割れし、「値ごろ感で選ばれている」という社内の前提を疑う必要がありました。</w:t>
      </w:r>
    </w:p>
    <w:p>
      <w:pPr>
        <w:spacing w:after="20" w:line="232"/>
        <w:ind w:left="260"/>
      </w:pPr>
      <w:r>
        <w:rPr>
          <w:rFonts w:ascii="Yu Gothic" w:eastAsia="游ゴシック" w:hAnsi="Yu Gothic"/>
          <w:b/>
          <w:bCs/>
          <w:sz w:val="20"/>
          <w:szCs w:val="20"/>
        </w:rPr>
        <w:t xml:space="preserve">打ち手：</w:t>
      </w:r>
      <w:r>
        <w:rPr>
          <w:rFonts w:ascii="Yu Gothic" w:eastAsia="游ゴシック" w:hAnsi="Yu Gothic"/>
          <w:sz w:val="20"/>
          <w:szCs w:val="20"/>
        </w:rPr>
        <w:t xml:space="preserve">POSデータと生活者調査を突き合わせ、離反の理由は価格ではなく使い切れない容量だという仮説を立て、年間の設計を組み直しました。</w:t>
      </w:r>
    </w:p>
    <w:p>
      <w:pPr>
        <w:spacing w:after="20" w:line="232"/>
        <w:ind w:left="260"/>
      </w:pPr>
      <w:r>
        <w:rPr>
          <w:rFonts w:ascii="Yu Gothic" w:eastAsia="游ゴシック" w:hAnsi="Yu Gothic"/>
          <w:b/>
          <w:bCs/>
          <w:sz w:val="20"/>
          <w:szCs w:val="20"/>
        </w:rPr>
        <w:t xml:space="preserve">数字：</w:t>
      </w:r>
      <w:r>
        <w:rPr>
          <w:rFonts w:ascii="Yu Gothic" w:eastAsia="游ゴシック" w:hAnsi="Yu Gothic"/>
          <w:sz w:val="20"/>
          <w:szCs w:val="20"/>
        </w:rPr>
        <w:t xml:space="preserve">売上を前年比120％に、リピート率を30％から45％に改善しました（担当：戦略設計と制作3社の管理）。</w:t>
      </w:r>
    </w:p>
    <w:p>
      <w:pPr>
        <w:spacing w:after="20" w:line="232"/>
        <w:ind w:left="260"/>
      </w:pPr>
      <w:r>
        <w:rPr>
          <w:rFonts w:ascii="Yu Gothic" w:eastAsia="游ゴシック" w:hAnsi="Yu Gothic"/>
          <w:b/>
          <w:bCs/>
          <w:sz w:val="20"/>
          <w:szCs w:val="20"/>
        </w:rPr>
        <w:t xml:space="preserve">再現性：</w:t>
      </w:r>
      <w:r>
        <w:rPr>
          <w:rFonts w:ascii="Yu Gothic" w:eastAsia="游ゴシック" w:hAnsi="Yu Gothic"/>
          <w:sz w:val="20"/>
          <w:szCs w:val="20"/>
        </w:rPr>
        <w:t xml:space="preserve">社内の前提を疑うところからデータで入る進め方は、業界を問わず同じ形で使えます。</w:t>
      </w:r>
    </w:p>
    <w:p>
      <w:pPr>
        <w:pBdr>
          <w:bottom w:val="single" w:color="000000" w:sz="6"/>
        </w:pBdr>
        <w:spacing w:after="70" w:before="150" w:line="232"/>
      </w:pPr>
      <w:r>
        <w:rPr>
          <w:rFonts w:ascii="Yu Gothic" w:eastAsia="游ゴシック" w:hAnsi="Yu Gothic"/>
          <w:b/>
          <w:bCs/>
          <w:sz w:val="22"/>
          <w:szCs w:val="22"/>
        </w:rPr>
        <w:t xml:space="preserve">実績ハイライト</w:t>
      </w:r>
    </w:p>
    <w:tbl>
      <w:tblPr>
        <w:tblW w:type="dxa" w:w="9639"/>
        <w:tblBorders>
          <w:top w:val="single" w:color="888888" w:sz="2"/>
          <w:left w:val="single" w:color="888888" w:sz="2"/>
          <w:bottom w:val="single" w:color="888888" w:sz="2"/>
          <w:right w:val="single" w:color="888888" w:sz="2"/>
          <w:insideH w:val="single" w:color="888888" w:sz="2"/>
          <w:insideV w:val="single" w:color="888888" w:sz="2"/>
        </w:tblBorders>
      </w:tblPr>
      <w:tblGrid>
        <w:gridCol w:w="1300"/>
        <w:gridCol w:w="2500"/>
        <w:gridCol w:w="1500"/>
        <w:gridCol w:w="2600"/>
        <w:gridCol w:w="1739"/>
      </w:tblGrid>
      <w:tr>
        <w:trPr>
          <w:tblHeader/>
        </w:trPr>
        <w:tc>
          <w:tcPr>
            <w:tcW w:type="dxa" w:w="1300"/>
            <w:shd w:fill="EFEF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/>
                <w:bCs/>
                <w:sz w:val="18"/>
                <w:szCs w:val="18"/>
              </w:rPr>
              <w:t xml:space="preserve">時期</w:t>
            </w:r>
          </w:p>
        </w:tc>
        <w:tc>
          <w:tcPr>
            <w:tcW w:type="dxa" w:w="2500"/>
            <w:shd w:fill="EFEF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/>
                <w:bCs/>
                <w:sz w:val="18"/>
                <w:szCs w:val="18"/>
              </w:rPr>
              <w:t xml:space="preserve">担当領域</w:t>
            </w:r>
          </w:p>
        </w:tc>
        <w:tc>
          <w:tcPr>
            <w:tcW w:type="dxa" w:w="1500"/>
            <w:shd w:fill="EFEF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/>
                <w:bCs/>
                <w:sz w:val="18"/>
                <w:szCs w:val="18"/>
              </w:rPr>
              <w:t xml:space="preserve">指標</w:t>
            </w:r>
          </w:p>
        </w:tc>
        <w:tc>
          <w:tcPr>
            <w:tcW w:type="dxa" w:w="2600"/>
            <w:shd w:fill="EFEF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/>
                <w:bCs/>
                <w:sz w:val="18"/>
                <w:szCs w:val="18"/>
              </w:rPr>
              <w:t xml:space="preserve">結果</w:t>
            </w:r>
          </w:p>
        </w:tc>
        <w:tc>
          <w:tcPr>
            <w:tcW w:type="dxa" w:w="1739"/>
            <w:shd w:fill="EFEF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/>
                <w:bCs/>
                <w:sz w:val="18"/>
                <w:szCs w:val="18"/>
              </w:rPr>
              <w:t xml:space="preserve">自分の役割</w:t>
            </w:r>
          </w:p>
        </w:tc>
      </w:tr>
      <w:tr>
        <w:trPr>
          <w:tblHeader w:val="false"/>
        </w:trPr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20〇〇年</w:t>
            </w:r>
          </w:p>
        </w:tc>
        <w:tc>
          <w:tcPr>
            <w:tcW w:type="dxa" w:w="2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主力ブランド 新規獲得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獲得単価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10,000円 → 6,000円（40％改善）</w:t>
            </w:r>
          </w:p>
        </w:tc>
        <w:tc>
          <w:tcPr>
            <w:tcW w:type="dxa" w:w="173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検証設計の全体と実行</w:t>
            </w:r>
          </w:p>
        </w:tc>
      </w:tr>
      <w:tr>
        <w:trPr>
          <w:tblHeader w:val="false"/>
        </w:trPr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20〇〇年</w:t>
            </w:r>
          </w:p>
        </w:tc>
        <w:tc>
          <w:tcPr>
            <w:tcW w:type="dxa" w:w="2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ブランドリニューアル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指名検索数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月1,000件 → 3,000件（3倍）</w:t>
            </w:r>
          </w:p>
        </w:tc>
        <w:tc>
          <w:tcPr>
            <w:tcW w:type="dxa" w:w="173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調査設計と訴求の決定</w:t>
            </w:r>
          </w:p>
        </w:tc>
      </w:tr>
      <w:tr>
        <w:trPr>
          <w:tblHeader w:val="false"/>
        </w:trPr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20〇〇年</w:t>
            </w:r>
          </w:p>
        </w:tc>
        <w:tc>
          <w:tcPr>
            <w:tcW w:type="dxa" w:w="2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日用品 年間キャンペーン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売上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前年比120％</w:t>
            </w:r>
          </w:p>
        </w:tc>
        <w:tc>
          <w:tcPr>
            <w:tcW w:type="dxa" w:w="173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戦略設計とディレクション</w:t>
            </w:r>
          </w:p>
        </w:tc>
      </w:tr>
      <w:tr>
        <w:trPr>
          <w:tblHeader w:val="false"/>
        </w:trPr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20〇〇年</w:t>
            </w:r>
          </w:p>
        </w:tc>
        <w:tc>
          <w:tcPr>
            <w:tcW w:type="dxa" w:w="2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定期購入の運用改善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リピート率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30％ → 45％</w:t>
            </w:r>
          </w:p>
        </w:tc>
        <w:tc>
          <w:tcPr>
            <w:tcW w:type="dxa" w:w="173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運用方針の設計</w:t>
            </w:r>
          </w:p>
        </w:tc>
      </w:tr>
    </w:tbl>
    <w:p>
      <w:pPr>
        <w:spacing w:after="40" w:before="80" w:line="232"/>
      </w:pPr>
      <w:r>
        <w:rPr>
          <w:rFonts w:ascii="Yu Gothic" w:eastAsia="游ゴシック" w:hAnsi="Yu Gothic"/>
          <w:color w:val="555555"/>
          <w:sz w:val="18"/>
          <w:szCs w:val="18"/>
        </w:rPr>
        <w:t xml:space="preserve">※ 数字は「変化の前後」と「自分の担当範囲」をセットで書きます。</w:t>
      </w:r>
    </w:p>
    <w:p>
      <w:pPr>
        <w:pBdr>
          <w:bottom w:val="single" w:color="000000" w:sz="6"/>
        </w:pBdr>
        <w:spacing w:after="70" w:before="150" w:line="232"/>
      </w:pPr>
      <w:r>
        <w:rPr>
          <w:rFonts w:ascii="Yu Gothic" w:eastAsia="游ゴシック" w:hAnsi="Yu Gothic"/>
          <w:b/>
          <w:bCs/>
          <w:sz w:val="22"/>
          <w:szCs w:val="22"/>
        </w:rPr>
        <w:t xml:space="preserve">PC・ツールスキル</w:t>
      </w:r>
    </w:p>
    <w:p>
      <w:pPr>
        <w:pStyle w:val="ListParagraph"/>
        <w:numPr>
          <w:ilvl w:val="0"/>
          <w:numId w:val="2"/>
        </w:numPr>
        <w:spacing w:after="0" w:line="232"/>
      </w:pPr>
      <w:r>
        <w:rPr>
          <w:rFonts w:ascii="Yu Gothic" w:eastAsia="游ゴシック" w:hAnsi="Yu Gothic"/>
          <w:sz w:val="20"/>
          <w:szCs w:val="20"/>
        </w:rPr>
        <w:t xml:space="preserve">Excel：ピボットテーブル、XLOOKUP、関数を使った集計（実務10年）</w:t>
      </w:r>
    </w:p>
    <w:p>
      <w:pPr>
        <w:pStyle w:val="ListParagraph"/>
        <w:numPr>
          <w:ilvl w:val="0"/>
          <w:numId w:val="2"/>
        </w:numPr>
        <w:spacing w:after="0" w:line="232"/>
      </w:pPr>
      <w:r>
        <w:rPr>
          <w:rFonts w:ascii="Yu Gothic" w:eastAsia="游ゴシック" w:hAnsi="Yu Gothic"/>
          <w:sz w:val="20"/>
          <w:szCs w:val="20"/>
        </w:rPr>
        <w:t xml:space="preserve">PowerPoint：提案書・報告書の作成（月5本）</w:t>
      </w:r>
    </w:p>
    <w:p>
      <w:pPr>
        <w:pStyle w:val="ListParagraph"/>
        <w:numPr>
          <w:ilvl w:val="0"/>
          <w:numId w:val="2"/>
        </w:numPr>
        <w:spacing w:after="0" w:line="232"/>
      </w:pPr>
      <w:r>
        <w:rPr>
          <w:rFonts w:ascii="Yu Gothic" w:eastAsia="游ゴシック" w:hAnsi="Yu Gothic"/>
          <w:sz w:val="20"/>
          <w:szCs w:val="20"/>
        </w:rPr>
        <w:t xml:space="preserve">Googleアナリティクス4：探索レポートの作成、イベント設計</w:t>
      </w:r>
    </w:p>
    <w:p>
      <w:pPr>
        <w:pStyle w:val="ListParagraph"/>
        <w:numPr>
          <w:ilvl w:val="0"/>
          <w:numId w:val="2"/>
        </w:numPr>
        <w:spacing w:after="0" w:line="232"/>
      </w:pPr>
      <w:r>
        <w:rPr>
          <w:rFonts w:ascii="Yu Gothic" w:eastAsia="游ゴシック" w:hAnsi="Yu Gothic"/>
          <w:sz w:val="20"/>
          <w:szCs w:val="20"/>
        </w:rPr>
        <w:t xml:space="preserve">Google広告／Meta広告：運用設計、レポート作成（月間予算250万円規模）</w:t>
      </w:r>
    </w:p>
    <w:p>
      <w:pPr>
        <w:pStyle w:val="ListParagraph"/>
        <w:numPr>
          <w:ilvl w:val="0"/>
          <w:numId w:val="2"/>
        </w:numPr>
        <w:spacing w:after="0" w:line="232"/>
      </w:pPr>
      <w:r>
        <w:rPr>
          <w:rFonts w:ascii="Yu Gothic" w:eastAsia="游ゴシック" w:hAnsi="Yu Gothic"/>
          <w:sz w:val="20"/>
          <w:szCs w:val="20"/>
        </w:rPr>
        <w:t xml:space="preserve">Looker Studio：ダッシュボードの作成と運用</w:t>
      </w:r>
    </w:p>
    <w:p>
      <w:pPr>
        <w:pStyle w:val="ListParagraph"/>
        <w:numPr>
          <w:ilvl w:val="0"/>
          <w:numId w:val="2"/>
        </w:numPr>
        <w:spacing w:after="0" w:line="232"/>
      </w:pPr>
      <w:r>
        <w:rPr>
          <w:rFonts w:ascii="Yu Gothic" w:eastAsia="游ゴシック" w:hAnsi="Yu Gothic"/>
          <w:sz w:val="20"/>
          <w:szCs w:val="20"/>
        </w:rPr>
        <w:t xml:space="preserve">SQL：基本的な集計クエリの作成（BigQuery）</w:t>
      </w:r>
    </w:p>
    <w:p>
      <w:pPr>
        <w:pBdr>
          <w:bottom w:val="single" w:color="000000" w:sz="6"/>
        </w:pBdr>
        <w:spacing w:after="70" w:before="150" w:line="232"/>
      </w:pPr>
      <w:r>
        <w:rPr>
          <w:rFonts w:ascii="Yu Gothic" w:eastAsia="游ゴシック" w:hAnsi="Yu Gothic"/>
          <w:b/>
          <w:bCs/>
          <w:sz w:val="22"/>
          <w:szCs w:val="22"/>
        </w:rPr>
        <w:t xml:space="preserve">自己PR</w:t>
      </w:r>
    </w:p>
    <w:p>
      <w:pPr>
        <w:spacing w:after="40" w:before="0" w:line="232"/>
      </w:pPr>
      <w:r>
        <w:rPr>
          <w:rFonts w:ascii="Yu Gothic" w:eastAsia="游ゴシック" w:hAnsi="Yu Gothic"/>
          <w:sz w:val="20"/>
          <w:szCs w:val="20"/>
        </w:rPr>
        <w:t xml:space="preserve">私の強みは、数字が動いた理由を説明できることです。株式会社〇〇では、新規顧客の獲得単価が前年比で50％悪化した局面で、原因を広告の単価と申込みまでの離脱に分解し、影響の大きい順に検証を組みました。結果として獲得単価を40％改善しましたが、同じくらい大事だったのは、なぜその順番で手を打ったのかをチームで共有し、次の担当者が同じ判断をできる状態にしたことです。施策の良し悪しは、再現できてはじめて資産になります。貴社では定期購入の領域で、獲得と継続の両方を見てきた経験を活かし、検証の設計から実行までを担いたいと考えています。</w:t>
      </w:r>
    </w:p>
    <w:p>
      <w:pPr>
        <w:spacing w:after="40" w:before="40" w:line="232"/>
        <w:jc w:val="right"/>
      </w:pPr>
      <w:r>
        <w:rPr>
          <w:rFonts w:ascii="Yu Gothic" w:eastAsia="游ゴシック" w:hAnsi="Yu Gothic"/>
          <w:sz w:val="20"/>
          <w:szCs w:val="20"/>
        </w:rPr>
        <w:t xml:space="preserve">以上</w:t>
      </w:r>
    </w:p>
    <w:p>
      <w:pPr>
        <w:pBdr>
          <w:top w:val="single" w:color="888888" w:sz="2"/>
        </w:pBdr>
        <w:spacing w:after="0" w:before="70" w:line="232"/>
      </w:pPr>
      <w:r>
        <w:rPr>
          <w:rFonts w:ascii="Yu Gothic" w:eastAsia="游ゴシック" w:hAnsi="Yu Gothic"/>
          <w:color w:val="555555"/>
          <w:sz w:val="18"/>
          <w:szCs w:val="18"/>
        </w:rPr>
        <w:t xml:space="preserve">記入例：よそおい（yosooi.jp）／ 人物・社名・数字はすべて架空のものです。</w:t>
      </w:r>
    </w:p>
    <w:sectPr>
      <w:pgSz w:w="11905" w:h="16837" w:orient="portrait"/>
      <w:pgMar w:top="850" w:right="1133" w:bottom="737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・"/>
      <w:lvlJc w:val="left"/>
      <w:pPr>
        <w:ind w:left="240" w:hanging="240"/>
      </w:pPr>
      <w:rPr>
        <w:rFonts w:ascii="Yu Gothic" w:eastAsia="游ゴシック" w:hAnsi="Yu Gothic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eastAsia="游ゴシック" w:hAnsi="Yu Gothic"/>
        <w:color w:val="00000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2026-09-08T08:47:22.652Z</dcterms:created>
  <dcterms:modified xsi:type="dcterms:W3CDTF">2026-09-08T08:47:22.652Z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